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098F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4038FE8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安阳市职工文化体育中心羽毛球、篮球一体</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培训项目合作意向</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表</w:t>
      </w:r>
    </w:p>
    <w:tbl>
      <w:tblPr>
        <w:tblStyle w:val="3"/>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1580"/>
        <w:gridCol w:w="4500"/>
        <w:gridCol w:w="2080"/>
      </w:tblGrid>
      <w:tr w14:paraId="1FE4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gridSpan w:val="2"/>
            <w:vAlign w:val="center"/>
          </w:tcPr>
          <w:p w14:paraId="48CDAB28">
            <w:pPr>
              <w:jc w:val="center"/>
              <w:rPr>
                <w:rFonts w:hint="eastAsia" w:ascii="黑体" w:hAnsi="黑体" w:eastAsia="黑体" w:cs="黑体"/>
                <w:color w:val="000000" w:themeColor="text1"/>
                <w:sz w:val="32"/>
                <w:szCs w:val="32"/>
                <w:vertAlign w:val="baseline"/>
                <w:lang w:val="en-US" w:eastAsia="zh-CN"/>
                <w14:textFill>
                  <w14:solidFill>
                    <w14:schemeClr w14:val="tx1"/>
                  </w14:solidFill>
                </w14:textFill>
              </w:rPr>
            </w:pPr>
            <w:r>
              <w:rPr>
                <w:rFonts w:hint="eastAsia" w:ascii="黑体" w:hAnsi="黑体" w:eastAsia="黑体" w:cs="黑体"/>
                <w:color w:val="000000" w:themeColor="text1"/>
                <w:sz w:val="32"/>
                <w:szCs w:val="32"/>
                <w:vertAlign w:val="baseline"/>
                <w:lang w:val="en-US" w:eastAsia="zh-CN"/>
                <w14:textFill>
                  <w14:solidFill>
                    <w14:schemeClr w14:val="tx1"/>
                  </w14:solidFill>
                </w14:textFill>
              </w:rPr>
              <w:t>项目</w:t>
            </w:r>
          </w:p>
        </w:tc>
        <w:tc>
          <w:tcPr>
            <w:tcW w:w="4500" w:type="dxa"/>
            <w:vAlign w:val="center"/>
          </w:tcPr>
          <w:p w14:paraId="1FAD90E9">
            <w:pPr>
              <w:jc w:val="center"/>
              <w:rPr>
                <w:rFonts w:hint="eastAsia" w:ascii="黑体" w:hAnsi="黑体" w:eastAsia="黑体" w:cs="黑体"/>
                <w:color w:val="000000" w:themeColor="text1"/>
                <w:sz w:val="32"/>
                <w:szCs w:val="32"/>
                <w:vertAlign w:val="baseline"/>
                <w:lang w:val="en-US" w:eastAsia="zh-CN"/>
                <w14:textFill>
                  <w14:solidFill>
                    <w14:schemeClr w14:val="tx1"/>
                  </w14:solidFill>
                </w14:textFill>
              </w:rPr>
            </w:pPr>
            <w:r>
              <w:rPr>
                <w:rFonts w:hint="eastAsia" w:ascii="黑体" w:hAnsi="黑体" w:eastAsia="黑体" w:cs="黑体"/>
                <w:color w:val="000000" w:themeColor="text1"/>
                <w:sz w:val="32"/>
                <w:szCs w:val="32"/>
                <w:vertAlign w:val="baseline"/>
                <w:lang w:val="en-US" w:eastAsia="zh-CN"/>
                <w14:textFill>
                  <w14:solidFill>
                    <w14:schemeClr w14:val="tx1"/>
                  </w14:solidFill>
                </w14:textFill>
              </w:rPr>
              <w:t>合作方意向</w:t>
            </w:r>
          </w:p>
        </w:tc>
        <w:tc>
          <w:tcPr>
            <w:tcW w:w="2080" w:type="dxa"/>
            <w:vAlign w:val="center"/>
          </w:tcPr>
          <w:p w14:paraId="453637AE">
            <w:pPr>
              <w:jc w:val="center"/>
              <w:rPr>
                <w:rFonts w:hint="eastAsia" w:ascii="黑体" w:hAnsi="黑体" w:eastAsia="黑体" w:cs="黑体"/>
                <w:color w:val="000000" w:themeColor="text1"/>
                <w:sz w:val="32"/>
                <w:szCs w:val="32"/>
                <w:vertAlign w:val="baseline"/>
                <w:lang w:val="en-US" w:eastAsia="zh-CN"/>
                <w14:textFill>
                  <w14:solidFill>
                    <w14:schemeClr w14:val="tx1"/>
                  </w14:solidFill>
                </w14:textFill>
              </w:rPr>
            </w:pPr>
            <w:r>
              <w:rPr>
                <w:rFonts w:hint="eastAsia" w:ascii="黑体" w:hAnsi="黑体" w:eastAsia="黑体" w:cs="黑体"/>
                <w:color w:val="000000" w:themeColor="text1"/>
                <w:sz w:val="32"/>
                <w:szCs w:val="32"/>
                <w:vertAlign w:val="baseline"/>
                <w:lang w:val="en-US" w:eastAsia="zh-CN"/>
                <w14:textFill>
                  <w14:solidFill>
                    <w14:schemeClr w14:val="tx1"/>
                  </w14:solidFill>
                </w14:textFill>
              </w:rPr>
              <w:t>备注</w:t>
            </w:r>
          </w:p>
        </w:tc>
      </w:tr>
      <w:tr w14:paraId="5196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3134" w:type="dxa"/>
            <w:gridSpan w:val="2"/>
            <w:vAlign w:val="center"/>
          </w:tcPr>
          <w:p w14:paraId="1879E25B">
            <w:pPr>
              <w:jc w:val="center"/>
              <w:rPr>
                <w:rFonts w:hint="default" w:ascii="楷体" w:hAnsi="楷体" w:eastAsia="楷体" w:cs="楷体"/>
                <w:color w:val="000000" w:themeColor="text1"/>
                <w:sz w:val="32"/>
                <w:szCs w:val="32"/>
                <w:vertAlign w:val="baseline"/>
                <w:lang w:val="en-US" w:eastAsia="zh-CN"/>
                <w14:textFill>
                  <w14:solidFill>
                    <w14:schemeClr w14:val="tx1"/>
                  </w14:solidFill>
                </w14:textFill>
              </w:rPr>
            </w:pPr>
            <w:r>
              <w:rPr>
                <w:rFonts w:hint="eastAsia" w:ascii="楷体" w:hAnsi="楷体" w:eastAsia="楷体" w:cs="楷体"/>
                <w:color w:val="000000" w:themeColor="text1"/>
                <w:sz w:val="32"/>
                <w:szCs w:val="32"/>
                <w:vertAlign w:val="baseline"/>
                <w:lang w:val="en-US" w:eastAsia="zh-CN"/>
                <w14:textFill>
                  <w14:solidFill>
                    <w14:schemeClr w14:val="tx1"/>
                  </w14:solidFill>
                </w14:textFill>
              </w:rPr>
              <w:t>模式1：固定收益</w:t>
            </w:r>
          </w:p>
        </w:tc>
        <w:tc>
          <w:tcPr>
            <w:tcW w:w="4500" w:type="dxa"/>
            <w:vAlign w:val="center"/>
          </w:tcPr>
          <w:p w14:paraId="7BB1FE95">
            <w:pPr>
              <w:jc w:val="center"/>
              <w:rPr>
                <w:rFonts w:hint="default" w:ascii="仿宋_GB2312" w:hAnsi="仿宋_GB2312" w:eastAsia="仿宋_GB2312" w:cs="仿宋_GB2312"/>
                <w:color w:val="000000" w:themeColor="text1"/>
                <w:sz w:val="32"/>
                <w:szCs w:val="32"/>
                <w:u w:val="singl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vertAlign w:val="baseline"/>
                <w:lang w:val="en-US" w:eastAsia="zh-CN"/>
                <w14:textFill>
                  <w14:solidFill>
                    <w14:schemeClr w14:val="tx1"/>
                  </w14:solidFill>
                </w14:textFill>
              </w:rPr>
              <w:t>每年交中心</w:t>
            </w:r>
            <w:r>
              <w:rPr>
                <w:rFonts w:hint="eastAsia" w:ascii="仿宋_GB2312" w:hAnsi="仿宋_GB2312" w:eastAsia="仿宋_GB2312" w:cs="仿宋_GB2312"/>
                <w:color w:val="000000" w:themeColor="text1"/>
                <w:sz w:val="32"/>
                <w:szCs w:val="32"/>
                <w:u w:val="single"/>
                <w:vertAlign w:val="baseli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vertAlign w:val="baseline"/>
                <w:lang w:val="en-US" w:eastAsia="zh-CN"/>
                <w14:textFill>
                  <w14:solidFill>
                    <w14:schemeClr w14:val="tx1"/>
                  </w14:solidFill>
                </w14:textFill>
              </w:rPr>
              <w:t>万元</w:t>
            </w:r>
          </w:p>
        </w:tc>
        <w:tc>
          <w:tcPr>
            <w:tcW w:w="2080" w:type="dxa"/>
            <w:vAlign w:val="center"/>
          </w:tcPr>
          <w:p w14:paraId="32944DDA">
            <w:pPr>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r>
      <w:tr w14:paraId="10F3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554" w:type="dxa"/>
            <w:vMerge w:val="restart"/>
            <w:vAlign w:val="center"/>
          </w:tcPr>
          <w:p w14:paraId="2BF22E01">
            <w:pPr>
              <w:jc w:val="center"/>
              <w:rPr>
                <w:rFonts w:hint="eastAsia" w:ascii="楷体" w:hAnsi="楷体" w:eastAsia="楷体" w:cs="楷体"/>
                <w:color w:val="000000" w:themeColor="text1"/>
                <w:sz w:val="32"/>
                <w:szCs w:val="32"/>
                <w:vertAlign w:val="baseline"/>
                <w:lang w:val="en-US" w:eastAsia="zh-CN"/>
                <w14:textFill>
                  <w14:solidFill>
                    <w14:schemeClr w14:val="tx1"/>
                  </w14:solidFill>
                </w14:textFill>
              </w:rPr>
            </w:pPr>
            <w:r>
              <w:rPr>
                <w:rFonts w:hint="eastAsia" w:ascii="楷体" w:hAnsi="楷体" w:eastAsia="楷体" w:cs="楷体"/>
                <w:color w:val="000000" w:themeColor="text1"/>
                <w:sz w:val="32"/>
                <w:szCs w:val="32"/>
                <w:vertAlign w:val="baseline"/>
                <w:lang w:val="en-US" w:eastAsia="zh-CN"/>
                <w14:textFill>
                  <w14:solidFill>
                    <w14:schemeClr w14:val="tx1"/>
                  </w14:solidFill>
                </w14:textFill>
              </w:rPr>
              <w:t>模式2：</w:t>
            </w:r>
          </w:p>
          <w:p w14:paraId="759C1CBE">
            <w:pPr>
              <w:jc w:val="center"/>
              <w:rPr>
                <w:rFonts w:hint="default" w:ascii="楷体" w:hAnsi="楷体" w:eastAsia="楷体" w:cs="楷体"/>
                <w:color w:val="000000" w:themeColor="text1"/>
                <w:sz w:val="32"/>
                <w:szCs w:val="32"/>
                <w:vertAlign w:val="baseline"/>
                <w:lang w:val="en-US" w:eastAsia="zh-CN"/>
                <w14:textFill>
                  <w14:solidFill>
                    <w14:schemeClr w14:val="tx1"/>
                  </w14:solidFill>
                </w14:textFill>
              </w:rPr>
            </w:pPr>
            <w:r>
              <w:rPr>
                <w:rFonts w:hint="eastAsia" w:ascii="楷体" w:hAnsi="楷体" w:eastAsia="楷体" w:cs="楷体"/>
                <w:color w:val="000000" w:themeColor="text1"/>
                <w:sz w:val="32"/>
                <w:szCs w:val="32"/>
                <w:vertAlign w:val="baseline"/>
                <w:lang w:val="en-US" w:eastAsia="zh-CN"/>
                <w14:textFill>
                  <w14:solidFill>
                    <w14:schemeClr w14:val="tx1"/>
                  </w14:solidFill>
                </w14:textFill>
              </w:rPr>
              <w:t>收益分成</w:t>
            </w:r>
            <w:r>
              <w:rPr>
                <w:rFonts w:hint="eastAsia" w:ascii="楷体" w:hAnsi="楷体" w:eastAsia="楷体" w:cs="楷体"/>
                <w:color w:val="000000" w:themeColor="text1"/>
                <w:sz w:val="32"/>
                <w:szCs w:val="32"/>
                <w:vertAlign w:val="baseline"/>
                <w:lang w:val="en-US" w:eastAsia="zh-CN"/>
                <w14:textFill>
                  <w14:solidFill>
                    <w14:schemeClr w14:val="tx1"/>
                  </w14:solidFill>
                </w14:textFill>
              </w:rPr>
              <w:br w:type="textWrapping"/>
            </w:r>
            <w:r>
              <w:rPr>
                <w:rFonts w:hint="eastAsia" w:ascii="楷体" w:hAnsi="楷体" w:eastAsia="楷体" w:cs="楷体"/>
                <w:color w:val="000000" w:themeColor="text1"/>
                <w:sz w:val="32"/>
                <w:szCs w:val="32"/>
                <w:vertAlign w:val="baseline"/>
                <w:lang w:val="en-US" w:eastAsia="zh-CN"/>
                <w14:textFill>
                  <w14:solidFill>
                    <w14:schemeClr w14:val="tx1"/>
                  </w14:solidFill>
                </w14:textFill>
              </w:rPr>
              <w:t>（保底+分成）</w:t>
            </w:r>
          </w:p>
        </w:tc>
        <w:tc>
          <w:tcPr>
            <w:tcW w:w="1580" w:type="dxa"/>
            <w:vAlign w:val="center"/>
          </w:tcPr>
          <w:p w14:paraId="1C1C33BE">
            <w:pPr>
              <w:jc w:val="center"/>
              <w:rPr>
                <w:rFonts w:hint="eastAsia" w:ascii="楷体" w:hAnsi="楷体" w:eastAsia="楷体" w:cs="楷体"/>
                <w:color w:val="000000" w:themeColor="text1"/>
                <w:sz w:val="32"/>
                <w:szCs w:val="32"/>
                <w:vertAlign w:val="baseline"/>
                <w:lang w:val="en-US" w:eastAsia="zh-CN"/>
                <w14:textFill>
                  <w14:solidFill>
                    <w14:schemeClr w14:val="tx1"/>
                  </w14:solidFill>
                </w14:textFill>
              </w:rPr>
            </w:pPr>
            <w:r>
              <w:rPr>
                <w:rFonts w:hint="eastAsia" w:ascii="楷体" w:hAnsi="楷体" w:eastAsia="楷体" w:cs="楷体"/>
                <w:color w:val="000000" w:themeColor="text1"/>
                <w:sz w:val="32"/>
                <w:szCs w:val="32"/>
                <w:vertAlign w:val="baseline"/>
                <w:lang w:val="en-US" w:eastAsia="zh-CN"/>
                <w14:textFill>
                  <w14:solidFill>
                    <w14:schemeClr w14:val="tx1"/>
                  </w14:solidFill>
                </w14:textFill>
              </w:rPr>
              <w:t>保底金额</w:t>
            </w:r>
          </w:p>
        </w:tc>
        <w:tc>
          <w:tcPr>
            <w:tcW w:w="4500" w:type="dxa"/>
            <w:vAlign w:val="center"/>
          </w:tcPr>
          <w:p w14:paraId="1C31D5FD">
            <w:pPr>
              <w:jc w:val="center"/>
              <w:rPr>
                <w:rFonts w:hint="default"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vertAlign w:val="baseline"/>
                <w:lang w:val="en-US" w:eastAsia="zh-CN"/>
                <w14:textFill>
                  <w14:solidFill>
                    <w14:schemeClr w14:val="tx1"/>
                  </w14:solidFill>
                </w14:textFill>
              </w:rPr>
              <w:t>每年交中心保底收入</w:t>
            </w:r>
            <w:r>
              <w:rPr>
                <w:rFonts w:hint="eastAsia" w:ascii="仿宋_GB2312" w:hAnsi="仿宋_GB2312" w:eastAsia="仿宋_GB2312" w:cs="仿宋_GB2312"/>
                <w:color w:val="000000" w:themeColor="text1"/>
                <w:sz w:val="32"/>
                <w:szCs w:val="32"/>
                <w:u w:val="single"/>
                <w:vertAlign w:val="baseli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万元</w:t>
            </w:r>
          </w:p>
        </w:tc>
        <w:tc>
          <w:tcPr>
            <w:tcW w:w="2080" w:type="dxa"/>
            <w:vAlign w:val="center"/>
          </w:tcPr>
          <w:p w14:paraId="76B34A8F">
            <w:pPr>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r>
      <w:tr w14:paraId="1E33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554" w:type="dxa"/>
            <w:vMerge w:val="continue"/>
            <w:vAlign w:val="center"/>
          </w:tcPr>
          <w:p w14:paraId="19444BE7">
            <w:pPr>
              <w:jc w:val="center"/>
              <w:rPr>
                <w:rFonts w:hint="eastAsia" w:ascii="楷体" w:hAnsi="楷体" w:eastAsia="楷体" w:cs="楷体"/>
                <w:color w:val="000000" w:themeColor="text1"/>
                <w:sz w:val="32"/>
                <w:szCs w:val="32"/>
                <w:vertAlign w:val="baseline"/>
                <w:lang w:val="en-US" w:eastAsia="zh-CN"/>
                <w14:textFill>
                  <w14:solidFill>
                    <w14:schemeClr w14:val="tx1"/>
                  </w14:solidFill>
                </w14:textFill>
              </w:rPr>
            </w:pPr>
          </w:p>
        </w:tc>
        <w:tc>
          <w:tcPr>
            <w:tcW w:w="1580" w:type="dxa"/>
            <w:vAlign w:val="center"/>
          </w:tcPr>
          <w:p w14:paraId="31B80638">
            <w:pPr>
              <w:jc w:val="center"/>
              <w:rPr>
                <w:rFonts w:hint="eastAsia" w:ascii="楷体" w:hAnsi="楷体" w:eastAsia="楷体" w:cs="楷体"/>
                <w:color w:val="000000" w:themeColor="text1"/>
                <w:sz w:val="32"/>
                <w:szCs w:val="32"/>
                <w:vertAlign w:val="baseline"/>
                <w:lang w:val="en-US" w:eastAsia="zh-CN"/>
                <w14:textFill>
                  <w14:solidFill>
                    <w14:schemeClr w14:val="tx1"/>
                  </w14:solidFill>
                </w14:textFill>
              </w:rPr>
            </w:pPr>
            <w:r>
              <w:rPr>
                <w:rFonts w:hint="eastAsia" w:ascii="楷体" w:hAnsi="楷体" w:eastAsia="楷体" w:cs="楷体"/>
                <w:color w:val="000000" w:themeColor="text1"/>
                <w:sz w:val="32"/>
                <w:szCs w:val="32"/>
                <w:vertAlign w:val="baseline"/>
                <w:lang w:val="en-US" w:eastAsia="zh-CN"/>
                <w14:textFill>
                  <w14:solidFill>
                    <w14:schemeClr w14:val="tx1"/>
                  </w14:solidFill>
                </w14:textFill>
              </w:rPr>
              <w:t>分成比例</w:t>
            </w:r>
          </w:p>
        </w:tc>
        <w:tc>
          <w:tcPr>
            <w:tcW w:w="4500" w:type="dxa"/>
            <w:vAlign w:val="center"/>
          </w:tcPr>
          <w:p w14:paraId="2F1305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合作企业占比</w:t>
            </w:r>
            <w:r>
              <w:rPr>
                <w:rFonts w:hint="eastAsia" w:ascii="仿宋_GB2312" w:hAnsi="仿宋_GB2312" w:eastAsia="仿宋_GB2312" w:cs="仿宋_GB2312"/>
                <w:color w:val="000000" w:themeColor="text1"/>
                <w:sz w:val="32"/>
                <w:szCs w:val="32"/>
                <w:u w:val="single"/>
                <w:vertAlign w:val="baseli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中心占比</w:t>
            </w:r>
            <w:r>
              <w:rPr>
                <w:rFonts w:hint="eastAsia" w:ascii="仿宋_GB2312" w:hAnsi="仿宋_GB2312" w:eastAsia="仿宋_GB2312" w:cs="仿宋_GB2312"/>
                <w:color w:val="000000" w:themeColor="text1"/>
                <w:sz w:val="32"/>
                <w:szCs w:val="32"/>
                <w:u w:val="single"/>
                <w:vertAlign w:val="baseli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p>
        </w:tc>
        <w:tc>
          <w:tcPr>
            <w:tcW w:w="2080" w:type="dxa"/>
            <w:vAlign w:val="center"/>
          </w:tcPr>
          <w:p w14:paraId="0863D824">
            <w:pPr>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r>
    </w:tbl>
    <w:p w14:paraId="1422F879">
      <w:pPr>
        <w:keepNext w:val="0"/>
        <w:keepLines w:val="0"/>
        <w:pageBreakBefore w:val="0"/>
        <w:widowControl w:val="0"/>
        <w:tabs>
          <w:tab w:val="left" w:pos="1260"/>
        </w:tabs>
        <w:kinsoku/>
        <w:wordWrap/>
        <w:overflowPunct/>
        <w:topLinePunct w:val="0"/>
        <w:autoSpaceDE/>
        <w:autoSpaceDN/>
        <w:bidi w:val="0"/>
        <w:adjustRightInd/>
        <w:snapToGrid/>
        <w:spacing w:line="500" w:lineRule="exact"/>
        <w:ind w:left="1200" w:leftChars="0" w:hanging="1200" w:hangingChars="400"/>
        <w:jc w:val="both"/>
        <w:textAlignment w:val="auto"/>
        <w:rPr>
          <w:rFonts w:hint="eastAsia" w:ascii="楷体" w:hAnsi="楷体" w:eastAsia="楷体" w:cs="楷体"/>
          <w:color w:val="000000" w:themeColor="text1"/>
          <w:sz w:val="30"/>
          <w:szCs w:val="30"/>
          <w:lang w:val="en-US" w:eastAsia="zh-CN"/>
          <w14:textFill>
            <w14:solidFill>
              <w14:schemeClr w14:val="tx1"/>
            </w14:solidFill>
          </w14:textFill>
        </w:rPr>
      </w:pPr>
      <w:r>
        <w:rPr>
          <w:rFonts w:hint="eastAsia" w:ascii="楷体" w:hAnsi="楷体" w:eastAsia="楷体" w:cs="楷体"/>
          <w:color w:val="000000" w:themeColor="text1"/>
          <w:sz w:val="30"/>
          <w:szCs w:val="30"/>
          <w:lang w:val="en-US" w:eastAsia="zh-CN"/>
          <w14:textFill>
            <w14:solidFill>
              <w14:schemeClr w14:val="tx1"/>
            </w14:solidFill>
          </w14:textFill>
        </w:rPr>
        <w:t>说明：1.固定收益模式合作意向由报名企业填写可接纳的每年向工惠文体活动中心交纳的一定金额羽毛球、篮球一体培训收入。</w:t>
      </w:r>
    </w:p>
    <w:p w14:paraId="629DBC79">
      <w:pPr>
        <w:keepNext w:val="0"/>
        <w:keepLines w:val="0"/>
        <w:pageBreakBefore w:val="0"/>
        <w:widowControl w:val="0"/>
        <w:numPr>
          <w:ilvl w:val="0"/>
          <w:numId w:val="1"/>
        </w:numPr>
        <w:tabs>
          <w:tab w:val="left" w:pos="1260"/>
          <w:tab w:val="clear" w:pos="312"/>
        </w:tabs>
        <w:kinsoku/>
        <w:wordWrap/>
        <w:overflowPunct/>
        <w:topLinePunct w:val="0"/>
        <w:autoSpaceDE/>
        <w:autoSpaceDN/>
        <w:bidi w:val="0"/>
        <w:adjustRightInd/>
        <w:snapToGrid/>
        <w:spacing w:line="500" w:lineRule="exact"/>
        <w:ind w:left="1258" w:leftChars="456" w:hanging="300" w:hangingChars="100"/>
        <w:jc w:val="both"/>
        <w:textAlignment w:val="auto"/>
        <w:rPr>
          <w:rFonts w:hint="eastAsia" w:ascii="楷体" w:hAnsi="楷体" w:eastAsia="楷体" w:cs="楷体"/>
          <w:color w:val="000000" w:themeColor="text1"/>
          <w:sz w:val="30"/>
          <w:szCs w:val="30"/>
          <w:lang w:val="en-US" w:eastAsia="zh-CN"/>
          <w14:textFill>
            <w14:solidFill>
              <w14:schemeClr w14:val="tx1"/>
            </w14:solidFill>
          </w14:textFill>
        </w:rPr>
      </w:pPr>
      <w:r>
        <w:rPr>
          <w:rFonts w:hint="eastAsia" w:ascii="楷体" w:hAnsi="楷体" w:eastAsia="楷体" w:cs="楷体"/>
          <w:color w:val="000000" w:themeColor="text1"/>
          <w:sz w:val="30"/>
          <w:szCs w:val="30"/>
          <w:lang w:val="en-US" w:eastAsia="zh-CN"/>
          <w14:textFill>
            <w14:solidFill>
              <w14:schemeClr w14:val="tx1"/>
            </w14:solidFill>
          </w14:textFill>
        </w:rPr>
        <w:t>收益分成模式合作意向中保底金额填写报名企业可接受的每年向工惠文体活动中心交纳的一定金额羽毛球、篮球一体培训收入。分成比例为超过保底金额的羽毛球、篮球一体培训收入部分合作方与工惠文体活动中心具体分成比例，报名企业务必在合作意向中说明双方具体占比。</w:t>
      </w:r>
    </w:p>
    <w:p w14:paraId="370E560D">
      <w:pPr>
        <w:keepNext w:val="0"/>
        <w:keepLines w:val="0"/>
        <w:pageBreakBefore w:val="0"/>
        <w:widowControl w:val="0"/>
        <w:numPr>
          <w:ilvl w:val="0"/>
          <w:numId w:val="1"/>
        </w:numPr>
        <w:tabs>
          <w:tab w:val="left" w:pos="1260"/>
          <w:tab w:val="clear" w:pos="312"/>
        </w:tabs>
        <w:kinsoku/>
        <w:wordWrap/>
        <w:overflowPunct/>
        <w:topLinePunct w:val="0"/>
        <w:autoSpaceDE/>
        <w:autoSpaceDN/>
        <w:bidi w:val="0"/>
        <w:adjustRightInd/>
        <w:snapToGrid/>
        <w:spacing w:line="500" w:lineRule="exact"/>
        <w:ind w:left="1258" w:leftChars="456" w:hanging="300" w:hangingChars="100"/>
        <w:jc w:val="both"/>
        <w:textAlignment w:val="auto"/>
        <w:rPr>
          <w:rFonts w:hint="default" w:ascii="楷体" w:hAnsi="楷体" w:eastAsia="楷体" w:cs="楷体"/>
          <w:color w:val="000000" w:themeColor="text1"/>
          <w:sz w:val="30"/>
          <w:szCs w:val="30"/>
          <w:lang w:val="en-US" w:eastAsia="zh-CN"/>
          <w14:textFill>
            <w14:solidFill>
              <w14:schemeClr w14:val="tx1"/>
            </w14:solidFill>
          </w14:textFill>
        </w:rPr>
      </w:pPr>
      <w:r>
        <w:rPr>
          <w:rFonts w:hint="eastAsia" w:ascii="楷体" w:hAnsi="楷体" w:eastAsia="楷体" w:cs="楷体"/>
          <w:color w:val="000000" w:themeColor="text1"/>
          <w:sz w:val="30"/>
          <w:szCs w:val="30"/>
          <w:lang w:val="en-US" w:eastAsia="zh-CN"/>
          <w14:textFill>
            <w14:solidFill>
              <w14:schemeClr w14:val="tx1"/>
            </w14:solidFill>
          </w14:textFill>
        </w:rPr>
        <w:t>保底金额和分成比例按照年度计算。</w:t>
      </w:r>
    </w:p>
    <w:p w14:paraId="0E8985AB">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jc w:val="left"/>
        <w:textAlignment w:val="auto"/>
        <w:rPr>
          <w:rFonts w:hint="eastAsia" w:ascii="楷体" w:hAnsi="楷体" w:eastAsia="楷体" w:cs="楷体"/>
          <w:color w:val="000000" w:themeColor="text1"/>
          <w:sz w:val="32"/>
          <w:szCs w:val="32"/>
          <w:lang w:val="en-US" w:eastAsia="zh-CN"/>
          <w14:textFill>
            <w14:solidFill>
              <w14:schemeClr w14:val="tx1"/>
            </w14:solidFill>
          </w14:textFill>
        </w:rPr>
      </w:pPr>
    </w:p>
    <w:p w14:paraId="364F8ECB">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left="6387" w:leftChars="2432" w:hanging="1280" w:hangingChars="4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企业名称: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（公章）</w:t>
      </w:r>
    </w:p>
    <w:p w14:paraId="73571905">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left="6387" w:leftChars="2432" w:hanging="1280" w:hangingChars="4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年  月  日</w:t>
      </w:r>
    </w:p>
    <w:p w14:paraId="0724AA71">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jc w:val="left"/>
        <w:textAlignment w:val="auto"/>
        <w:rPr>
          <w:rFonts w:hint="eastAsia" w:ascii="楷体" w:hAnsi="楷体" w:eastAsia="楷体" w:cs="楷体"/>
          <w:color w:val="000000" w:themeColor="text1"/>
          <w:sz w:val="32"/>
          <w:szCs w:val="32"/>
          <w:lang w:val="en-US" w:eastAsia="zh-CN"/>
          <w14:textFill>
            <w14:solidFill>
              <w14:schemeClr w14:val="tx1"/>
            </w14:solidFill>
          </w14:textFill>
        </w:rPr>
      </w:pPr>
      <w:bookmarkStart w:id="0" w:name="_GoBack"/>
      <w:bookmarkEnd w:id="0"/>
    </w:p>
    <w:p w14:paraId="53351EEC">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jc w:val="left"/>
        <w:textAlignment w:val="auto"/>
        <w:rPr>
          <w:rFonts w:hint="default" w:ascii="楷体" w:hAnsi="楷体" w:eastAsia="楷体" w:cs="楷体"/>
          <w:color w:val="000000" w:themeColor="text1"/>
          <w:sz w:val="32"/>
          <w:szCs w:val="32"/>
          <w:lang w:val="en-US" w:eastAsia="zh-CN"/>
          <w14:textFill>
            <w14:solidFill>
              <w14:schemeClr w14:val="tx1"/>
            </w14:solidFill>
          </w14:textFill>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94BE19"/>
    <w:multiLevelType w:val="singleLevel"/>
    <w:tmpl w:val="6F94BE1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6D2A9"/>
    <w:rsid w:val="0E104867"/>
    <w:rsid w:val="0FAED256"/>
    <w:rsid w:val="3FFF8FF5"/>
    <w:rsid w:val="51CEA550"/>
    <w:rsid w:val="571E2A8C"/>
    <w:rsid w:val="575100BB"/>
    <w:rsid w:val="5FEF35E1"/>
    <w:rsid w:val="5FF6D2A9"/>
    <w:rsid w:val="6CBDFE73"/>
    <w:rsid w:val="74BA1182"/>
    <w:rsid w:val="767DE07C"/>
    <w:rsid w:val="7EBAC7D8"/>
    <w:rsid w:val="7FBF5468"/>
    <w:rsid w:val="A7F795C0"/>
    <w:rsid w:val="FBB36320"/>
    <w:rsid w:val="FFF771FA"/>
    <w:rsid w:val="FFFF3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304</Words>
  <Characters>305</Characters>
  <Lines>0</Lines>
  <Paragraphs>0</Paragraphs>
  <TotalTime>1</TotalTime>
  <ScaleCrop>false</ScaleCrop>
  <LinksUpToDate>false</LinksUpToDate>
  <CharactersWithSpaces>343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2025-09-19T16:33:00Z</dcterms:created>
  <dc:creator>朝阳</dc:creator>
  <cp:lastModifiedBy>惆怅</cp:lastModifiedBy>
  <dcterms:modified xsi:type="dcterms:W3CDTF">2025-09-19T07:22:53Z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04379E5304F5D602C0C5CC68CBD715BE_43</vt:lpwstr>
  </property>
  <property fmtid="{D5CDD505-2E9C-101B-9397-08002B2CF9AE}" pid="4" name="KSOTemplateDocerSaveRecord">
    <vt:lpwstr>eyJoZGlkIjoiZGZhMWIzNGVmYjY1NDYxYzhmNTM1YTU0OTQ4MjgwOGYiLCJ1c2VySWQiOiI0Mjg5NzQzNDUifQ==</vt:lpwstr>
  </property>
</Properties>
</file>